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Pour diffusion immédiate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sz w:val="32"/>
          <w:szCs w:val="32"/>
          <w:rtl w:val="0"/>
        </w:rPr>
        <w:t xml:space="preserve">Ford Mustang - La voiture de sport la plus vendue au monde</w:t>
      </w:r>
      <w:r w:rsidDel="00000000" w:rsidR="00000000" w:rsidRPr="00000000">
        <w:rPr>
          <w:rFonts w:ascii="Arial" w:cs="Arial" w:eastAsia="Arial" w:hAnsi="Arial"/>
          <w:rtl w:val="0"/>
        </w:rPr>
        <w:t xml:space="preserve">    </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numPr>
          <w:ilvl w:val="0"/>
          <w:numId w:val="1"/>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L'investissement constant de Ford dans la multiplication des offres de performance de Mustang contribue à en faire la voiture de sport la plus vendue au monde l'année dernière et pour la cinquième année consécutive le coupé sport le plus vendu de la planète. </w:t>
      </w:r>
    </w:p>
    <w:p w:rsidR="00000000" w:rsidDel="00000000" w:rsidP="00000000" w:rsidRDefault="00000000" w:rsidRPr="00000000" w14:paraId="00000006">
      <w:pPr>
        <w:ind w:left="36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numPr>
          <w:ilvl w:val="0"/>
          <w:numId w:val="1"/>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Désormais 12 variantes de performance complètent la gamme : les modèles Mustang EcoBoost® et GT avec chacun deux options de Pack Performance, Mustang BULLITT, Mustang Shelby® GT350 et le Handling Pack disponible, GT350R, et GT500 avec l’option Handling et Carbon Fiber Track Pack.</w:t>
      </w:r>
    </w:p>
    <w:p w:rsidR="00000000" w:rsidDel="00000000" w:rsidP="00000000" w:rsidRDefault="00000000" w:rsidRPr="00000000" w14:paraId="00000008">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numPr>
          <w:ilvl w:val="0"/>
          <w:numId w:val="1"/>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Depuis que les exportations mondiales de la Mustang de sixième génération ont démarré en 2015, Ford a vendu jusqu’en décembre 2019 633 000 Mustang dans 146 pays à travers le monde, dont 102 090 Mustang l’an passé.</w:t>
      </w:r>
    </w:p>
    <w:p w:rsidR="00000000" w:rsidDel="00000000" w:rsidP="00000000" w:rsidRDefault="00000000" w:rsidRPr="00000000" w14:paraId="0000000A">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bookmarkStart w:colFirst="0" w:colLast="0" w:name="_30j0zll" w:id="0"/>
      <w:bookmarkEnd w:id="0"/>
      <w:r w:rsidDel="00000000" w:rsidR="00000000" w:rsidRPr="00000000">
        <w:rPr>
          <w:rFonts w:ascii="Arial" w:cs="Arial" w:eastAsia="Arial" w:hAnsi="Arial"/>
          <w:b w:val="1"/>
          <w:sz w:val="24"/>
          <w:szCs w:val="24"/>
          <w:rtl w:val="0"/>
        </w:rPr>
        <w:t xml:space="preserve">CASABLANCA, Maroc, 23 avril 2020</w:t>
      </w:r>
      <w:r w:rsidDel="00000000" w:rsidR="00000000" w:rsidRPr="00000000">
        <w:rPr>
          <w:rFonts w:ascii="Arial" w:cs="Arial" w:eastAsia="Arial" w:hAnsi="Arial"/>
          <w:sz w:val="24"/>
          <w:szCs w:val="24"/>
          <w:rtl w:val="0"/>
        </w:rPr>
        <w:t xml:space="preserve"> – Mustang, qui célèbre son 56</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anniversaire, peut célébrer deux nouvelles couronnes de ventes mondiales, la marque ayant remporté le titre de voiture de sport la plus vendue au monde et ce, pour la cinquième année consécutive, celui de coupé sport le plus vendu de la planète. Cerise sur le gâteau : la Mustang est aussi la voiture de sport la plus vendue aux États-Unis depuis les cinquante dernières années.</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bookmarkStart w:colFirst="0" w:colLast="0" w:name="_1fob9te" w:id="1"/>
      <w:bookmarkEnd w:id="1"/>
      <w:r w:rsidDel="00000000" w:rsidR="00000000" w:rsidRPr="00000000">
        <w:rPr>
          <w:rFonts w:ascii="Arial" w:cs="Arial" w:eastAsia="Arial" w:hAnsi="Arial"/>
          <w:sz w:val="24"/>
          <w:szCs w:val="24"/>
          <w:rtl w:val="0"/>
        </w:rPr>
        <w:t xml:space="preserve">“Nous sommes fiers de l’évolution de notre écurie Mustang et de toutes ses variantes de performance”, a déclaré Jim Farley, directeur des opérations de Ford Motor Company. “De la Suède à Shanghai, de plus en plus de passionnés profitent du sentiment de liberté et des routes ouvertes à l’Américaine dans ces nouvelles Mustang. Nous sommes honorés de servir ces propriétaires et fans depuis 56 ans et cela va continuer.”</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sz w:val="24"/>
          <w:szCs w:val="24"/>
        </w:rPr>
      </w:pPr>
      <w:bookmarkStart w:colFirst="0" w:colLast="0" w:name="_3znysh7" w:id="2"/>
      <w:bookmarkEnd w:id="2"/>
      <w:r w:rsidDel="00000000" w:rsidR="00000000" w:rsidRPr="00000000">
        <w:rPr>
          <w:rFonts w:ascii="Arial" w:cs="Arial" w:eastAsia="Arial" w:hAnsi="Arial"/>
          <w:b w:val="1"/>
          <w:sz w:val="24"/>
          <w:szCs w:val="24"/>
          <w:rtl w:val="0"/>
        </w:rPr>
        <w:t xml:space="preserve">Deux couronnes de ventes mondiales </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Nourrie par sa gamme de performances la plus élevée, Mustang a vendu 102 090 unités, selon les récentes données d'immatriculation des nouveaux véhicules en provenance d’IHS Markit, ce qui en fait la voiture de sport la plus vendue au monde en 2019. Au cours de cette période, les ventes de Mustang en Allemagne ont augmenté de 33%, en Pologne elles ont progressé de près de 50% et en France elles ont quasiment doublé.</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2019, et pour la cinquième année consécutive, Mustang est également le coupé sport le plus vendu au monde. Les coupés sport, tels que définis par IHS Markit, incluent les modèles à deux portes et les cabriolets.</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Gamme de performances Mustang la plus exceptionnelle</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plus d'ajouter continuellement des options de personnalisation et de technologie, Ford maintient l'élan de la Mustang avec la gamme des performances les plus impressionnantes de tous les temps.</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Avec 12 modèles enthousiastes disponibles dans le monde, Ford offre à ses clients un nouvel âge d'or de la performance Mustang. Les variantes de la marque incluent les modèles EcoBoost® et GT avec chacun deux options de Performance Pack, Mustang BULLITT, Mustang Shelby® GT350 et le Handling Pack disponible, Shelby GT350R, et Shelby GT500 avec l’option Handling Pack et Carbon Fiber Track Pack.</w:t>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r>
    </w:p>
    <w:p w:rsidR="00000000" w:rsidDel="00000000" w:rsidP="00000000" w:rsidRDefault="00000000" w:rsidRPr="00000000" w14:paraId="0000001A">
      <w:pPr>
        <w:spacing w:line="276" w:lineRule="auto"/>
        <w:rPr>
          <w:rFonts w:ascii="Arial" w:cs="Arial" w:eastAsia="Arial" w:hAnsi="Arial"/>
          <w:i w:val="1"/>
        </w:rPr>
      </w:pPr>
      <w:r w:rsidDel="00000000" w:rsidR="00000000" w:rsidRPr="00000000">
        <w:rPr>
          <w:rFonts w:ascii="Arial" w:cs="Arial" w:eastAsia="Arial" w:hAnsi="Arial"/>
          <w:b w:val="1"/>
          <w:i w:val="1"/>
          <w:rtl w:val="0"/>
        </w:rPr>
        <w:t xml:space="preserve">À propos de Ford Motor Company</w:t>
      </w: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i w:val="1"/>
        </w:rPr>
      </w:pPr>
      <w:bookmarkStart w:colFirst="0" w:colLast="0" w:name="_2et92p0" w:id="3"/>
      <w:bookmarkEnd w:id="3"/>
      <w:r w:rsidDel="00000000" w:rsidR="00000000" w:rsidRPr="00000000">
        <w:rPr>
          <w:rFonts w:ascii="Arial" w:cs="Arial" w:eastAsia="Arial" w:hAnsi="Arial"/>
          <w:i w:val="1"/>
          <w:rtl w:val="0"/>
        </w:rPr>
        <w:t xml:space="preserve">Ford Motor Company est une entreprise mondiale basée à Dearborn, Michigan. Ses activités principales incluent le design, la fabrication, le marketing et l'entretien d'une gamme complète de véhicules Ford : voitures, camions, SUV, véhicules électriques et les luxueux modèles Lincoln. L’entreprise fournit des services financiers à travers Ford Motor Credit Company et continue de maintenir sa position de leader dans les solutions d’électrification et de mobilité dont les véhicules autonomes et les services connectés. Ford emploie environ 190 000 employés à travers le monde. Pour plus d’informations sur Ford, ses produits et Ford Motor Credit Company, veuillez visiter  </w:t>
      </w:r>
      <w:hyperlink r:id="rId6">
        <w:r w:rsidDel="00000000" w:rsidR="00000000" w:rsidRPr="00000000">
          <w:rPr>
            <w:rFonts w:ascii="Arial" w:cs="Arial" w:eastAsia="Arial" w:hAnsi="Arial"/>
            <w:i w:val="1"/>
            <w:color w:val="0563c1"/>
            <w:u w:val="single"/>
            <w:rtl w:val="0"/>
          </w:rPr>
          <w:t xml:space="preserve">www.corporate.ford.com</w:t>
        </w:r>
      </w:hyperlink>
      <w:r w:rsidDel="00000000" w:rsidR="00000000" w:rsidRPr="00000000">
        <w:rPr>
          <w:rFonts w:ascii="Arial" w:cs="Arial" w:eastAsia="Arial" w:hAnsi="Arial"/>
          <w:i w:val="1"/>
          <w:rtl w:val="0"/>
        </w:rPr>
        <w:t xml:space="preserve"> </w:t>
      </w:r>
      <w:r w:rsidDel="00000000" w:rsidR="00000000" w:rsidRPr="00000000">
        <w:rPr>
          <w:rFonts w:ascii="Arial" w:cs="Arial" w:eastAsia="Arial" w:hAnsi="Arial"/>
          <w:color w:val="0000ff"/>
          <w:u w:val="single"/>
          <w:rtl w:val="0"/>
        </w:rPr>
        <w:t xml:space="preserve"> </w:t>
      </w:r>
      <w:r w:rsidDel="00000000" w:rsidR="00000000" w:rsidRPr="00000000">
        <w:rPr>
          <w:rtl w:val="0"/>
        </w:rPr>
      </w:r>
    </w:p>
    <w:tbl>
      <w:tblPr>
        <w:tblStyle w:val="Table1"/>
        <w:tblW w:w="9500.0" w:type="dxa"/>
        <w:jc w:val="left"/>
        <w:tblInd w:w="0.0" w:type="dxa"/>
        <w:tblLayout w:type="fixed"/>
        <w:tblLook w:val="0000"/>
      </w:tblPr>
      <w:tblGrid>
        <w:gridCol w:w="6204"/>
        <w:gridCol w:w="3296"/>
        <w:tblGridChange w:id="0">
          <w:tblGrid>
            <w:gridCol w:w="6204"/>
            <w:gridCol w:w="3296"/>
          </w:tblGrid>
        </w:tblGridChange>
      </w:tblGrid>
      <w:tr>
        <w:tc>
          <w:tcPr>
            <w:tcMar>
              <w:top w:w="0.0" w:type="dxa"/>
              <w:left w:w="108.0" w:type="dxa"/>
              <w:bottom w:w="0.0" w:type="dxa"/>
              <w:right w:w="108.0" w:type="dxa"/>
            </w:tcMar>
          </w:tcPr>
          <w:p w:rsidR="00000000" w:rsidDel="00000000" w:rsidP="00000000" w:rsidRDefault="00000000" w:rsidRPr="00000000" w14:paraId="0000001D">
            <w:pPr>
              <w:spacing w:after="160" w:line="259" w:lineRule="auto"/>
              <w:rPr>
                <w:rFonts w:ascii="Arial" w:cs="Arial" w:eastAsia="Arial" w:hAnsi="Arial"/>
              </w:rPr>
            </w:pPr>
            <w:r w:rsidDel="00000000" w:rsidR="00000000" w:rsidRPr="00000000">
              <w:rPr>
                <w:rFonts w:ascii="Arial" w:cs="Arial" w:eastAsia="Arial" w:hAnsi="Arial"/>
                <w:b w:val="1"/>
                <w:rtl w:val="0"/>
              </w:rPr>
              <w:t xml:space="preserve">Contacts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E">
            <w:pPr>
              <w:spacing w:after="160" w:line="259" w:lineRule="auto"/>
              <w:rPr>
                <w:rFonts w:ascii="Arial" w:cs="Arial" w:eastAsia="Arial" w:hAnsi="Arial"/>
              </w:rPr>
            </w:pPr>
            <w:r w:rsidDel="00000000" w:rsidR="00000000" w:rsidRPr="00000000">
              <w:rPr>
                <w:rtl w:val="0"/>
              </w:rPr>
            </w:r>
          </w:p>
        </w:tc>
      </w:tr>
      <w:tr>
        <w:trPr>
          <w:trHeight w:val="1566" w:hRule="atLeast"/>
        </w:trPr>
        <w:tc>
          <w:tcPr>
            <w:tcMar>
              <w:top w:w="0.0" w:type="dxa"/>
              <w:left w:w="108.0" w:type="dxa"/>
              <w:bottom w:w="0.0" w:type="dxa"/>
              <w:right w:w="108.0" w:type="dxa"/>
            </w:tcM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rtl w:val="0"/>
              </w:rPr>
              <w:t xml:space="preserve">Hajar Dinar</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Communications Afrique du Nord et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Afrique Subsaharienne</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Ford Directs Markets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+212 666 963 665</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color w:val="0000ff"/>
                <w:u w:val="single"/>
                <w:rtl w:val="0"/>
              </w:rPr>
              <w:t xml:space="preserve">hdinar@ford.com</w:t>
            </w: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b w:val="1"/>
                <w:rtl w:val="0"/>
              </w:rPr>
              <w:t xml:space="preserve">Sara Ouafir</w:t>
            </w: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PR Media</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+212 661 097 593</w:t>
            </w:r>
          </w:p>
          <w:p w:rsidR="00000000" w:rsidDel="00000000" w:rsidP="00000000" w:rsidRDefault="00000000" w:rsidRPr="00000000" w14:paraId="00000029">
            <w:pPr>
              <w:rPr>
                <w:rFonts w:ascii="Arial" w:cs="Arial" w:eastAsia="Arial" w:hAnsi="Arial"/>
              </w:rPr>
            </w:pPr>
            <w:hyperlink r:id="rId7">
              <w:r w:rsidDel="00000000" w:rsidR="00000000" w:rsidRPr="00000000">
                <w:rPr>
                  <w:rFonts w:ascii="Arial" w:cs="Arial" w:eastAsia="Arial" w:hAnsi="Arial"/>
                  <w:color w:val="0000ff"/>
                  <w:u w:val="single"/>
                  <w:rtl w:val="0"/>
                </w:rPr>
                <w:t xml:space="preserve">sara.ouafir@prmediacom.com</w:t>
              </w:r>
            </w:hyperlink>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tc>
      </w:tr>
    </w:tbl>
    <w:p w:rsidR="00000000" w:rsidDel="00000000" w:rsidP="00000000" w:rsidRDefault="00000000" w:rsidRPr="00000000" w14:paraId="0000002B">
      <w:pPr>
        <w:spacing w:after="160" w:line="259" w:lineRule="auto"/>
        <w:rPr>
          <w:rFonts w:ascii="Arial" w:cs="Arial" w:eastAsia="Arial" w:hAnsi="Arial"/>
          <w:b w:val="1"/>
          <w:i w:val="1"/>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pos="4536"/>
        <w:tab w:val="right" w:pos="9072"/>
      </w:tabs>
      <w:spacing w:after="160" w:line="259" w:lineRule="auto"/>
      <w:rPr>
        <w:rFonts w:ascii="Arial" w:cs="Arial" w:eastAsia="Arial" w:hAnsi="Arial"/>
      </w:rPr>
    </w:pPr>
    <w:r w:rsidDel="00000000" w:rsidR="00000000" w:rsidRPr="00000000">
      <w:rPr>
        <w:rFonts w:ascii="Arial" w:cs="Arial" w:eastAsia="Arial" w:hAnsi="Arial"/>
        <w:rtl w:val="0"/>
      </w:rPr>
      <w:t xml:space="preserve">Pour les communiqués de presse, les matériels afférents et les photos et vidéos en haute résolution, veuillez visiter : </w:t>
    </w:r>
    <w:hyperlink r:id="rId1">
      <w:r w:rsidDel="00000000" w:rsidR="00000000" w:rsidRPr="00000000">
        <w:rPr>
          <w:rFonts w:ascii="Arial" w:cs="Arial" w:eastAsia="Arial" w:hAnsi="Arial"/>
          <w:color w:val="0000ff"/>
          <w:u w:val="single"/>
          <w:rtl w:val="0"/>
        </w:rPr>
        <w:t xml:space="preserve">http://www.media.ford.com/</w:t>
      </w:r>
    </w:hyperlink>
    <w:r w:rsidDel="00000000" w:rsidR="00000000" w:rsidRPr="00000000">
      <w:rPr>
        <w:rtl w:val="0"/>
      </w:rPr>
    </w:r>
  </w:p>
  <w:p w:rsidR="00000000" w:rsidDel="00000000" w:rsidP="00000000" w:rsidRDefault="00000000" w:rsidRPr="00000000" w14:paraId="0000002F">
    <w:pPr>
      <w:tabs>
        <w:tab w:val="center" w:pos="4513"/>
        <w:tab w:val="right" w:pos="9026"/>
      </w:tabs>
      <w:jc w:val="cente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p w:rsidR="00000000" w:rsidDel="00000000" w:rsidP="00000000" w:rsidRDefault="00000000" w:rsidRPr="00000000" w14:paraId="00000031">
    <w:pPr>
      <w:tabs>
        <w:tab w:val="center" w:pos="4536"/>
        <w:tab w:val="right" w:pos="9072"/>
      </w:tabs>
      <w:spacing w:after="160" w:line="259" w:lineRule="auto"/>
      <w:rPr>
        <w:rFonts w:ascii="Arial" w:cs="Arial" w:eastAsia="Arial" w:hAnsi="Arial"/>
      </w:rPr>
    </w:pPr>
    <w:r w:rsidDel="00000000" w:rsidR="00000000" w:rsidRPr="00000000">
      <w:rPr>
        <w:rFonts w:ascii="Arial" w:cs="Arial" w:eastAsia="Arial" w:hAnsi="Arial"/>
        <w:rtl w:val="0"/>
      </w:rPr>
      <w:t xml:space="preserve">Pour les communiqués de presse, les matériels afférents et les photos et vidéos en haute résolution, veuillez visiter : </w:t>
    </w:r>
    <w:hyperlink r:id="rId1">
      <w:r w:rsidDel="00000000" w:rsidR="00000000" w:rsidRPr="00000000">
        <w:rPr>
          <w:rFonts w:ascii="Arial" w:cs="Arial" w:eastAsia="Arial" w:hAnsi="Arial"/>
          <w:color w:val="0000ff"/>
          <w:u w:val="single"/>
          <w:rtl w:val="0"/>
        </w:rPr>
        <w:t xml:space="preserve">http://www.media.ford.com/</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13"/>
        <w:tab w:val="right" w:pos="9026"/>
      </w:tabs>
      <w:jc w:val="center"/>
      <w:rPr/>
    </w:pPr>
    <w:bookmarkStart w:colFirst="0" w:colLast="0" w:name="_tyjcwt" w:id="4"/>
    <w:bookmarkEnd w:id="4"/>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left" w:pos="1483"/>
        <w:tab w:val="center" w:pos="4513"/>
        <w:tab w:val="right" w:pos="9026"/>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50800" cy="266700"/>
              <wp:effectExtent b="0" l="0" r="0" t="0"/>
              <wp:wrapNone/>
              <wp:docPr id="2" name=""/>
              <a:graphic>
                <a:graphicData uri="http://schemas.microsoft.com/office/word/2010/wordprocessingShape">
                  <wps:wsp>
                    <wps:cNvCnPr/>
                    <wps:spPr>
                      <a:xfrm>
                        <a:off x="5346000" y="3665700"/>
                        <a:ext cx="0" cy="22860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50800" cy="266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0800" cy="266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left" w:pos="2880"/>
      </w:tabs>
      <w:rPr/>
    </w:pPr>
    <w:r w:rsidDel="00000000" w:rsidR="00000000" w:rsidRPr="00000000">
      <w:rPr>
        <w:rFonts w:ascii="Book Antiqua" w:cs="Book Antiqua" w:eastAsia="Book Antiqua" w:hAnsi="Book Antiqua"/>
        <w:smallCaps w:val="1"/>
        <w:sz w:val="80"/>
        <w:szCs w:val="80"/>
        <w:vertAlign w:val="superscript"/>
        <w:rtl w:val="0"/>
      </w:rPr>
      <w:t xml:space="preserve">                            Nouvelle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863600</wp:posOffset>
              </wp:positionH>
              <wp:positionV relativeFrom="paragraph">
                <wp:posOffset>-12699</wp:posOffset>
              </wp:positionV>
              <wp:extent cx="164520" cy="380160"/>
              <wp:effectExtent b="0" l="0" r="0" t="0"/>
              <wp:wrapSquare wrapText="bothSides" distB="0" distT="0" distL="0" distR="0"/>
              <wp:docPr id="1" name=""/>
              <a:graphic>
                <a:graphicData uri="http://schemas.microsoft.com/office/word/2010/wordprocessingShape">
                  <wps:wsp>
                    <wps:cNvSpPr/>
                    <wps:cNvPr id="2" name="Shape 2"/>
                    <wps:spPr>
                      <a:xfrm>
                        <a:off x="5326740" y="3652920"/>
                        <a:ext cx="38520" cy="254160"/>
                      </a:xfrm>
                      <a:custGeom>
                        <a:rect b="b" l="l" r="r" t="t"/>
                        <a:pathLst>
                          <a:path extrusionOk="0" h="21600" w="21600">
                            <a:moveTo>
                              <a:pt x="0" y="0"/>
                            </a:moveTo>
                            <a:lnTo>
                              <a:pt x="21600" y="21600"/>
                            </a:lnTo>
                          </a:path>
                        </a:pathLst>
                      </a:custGeom>
                      <a:noFill/>
                      <a:ln cap="flat" cmpd="sng" w="126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000" lIns="90000" spcFirstLastPara="1" rIns="90000" wrap="square" tIns="45000">
                      <a:noAutofit/>
                    </wps:bodyPr>
                  </wps:wsp>
                </a:graphicData>
              </a:graphic>
            </wp:anchor>
          </w:drawing>
        </mc:Choice>
        <mc:Fallback>
          <w:drawing>
            <wp:anchor allowOverlap="1" behindDoc="0" distB="0" distT="0" distL="0" distR="0" hidden="0" layoutInCell="1" locked="0" relativeHeight="0" simplePos="0">
              <wp:simplePos x="0" y="0"/>
              <wp:positionH relativeFrom="column">
                <wp:posOffset>863600</wp:posOffset>
              </wp:positionH>
              <wp:positionV relativeFrom="paragraph">
                <wp:posOffset>-12699</wp:posOffset>
              </wp:positionV>
              <wp:extent cx="164520" cy="38016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4520" cy="38016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00100" cy="314325"/>
          <wp:effectExtent b="0" l="0" r="0" t="0"/>
          <wp:wrapSquare wrapText="bothSides" distB="0" distT="0" distL="0" distR="0"/>
          <wp:docPr descr="Logo_Ford" id="3" name="image1.jpg"/>
          <a:graphic>
            <a:graphicData uri="http://schemas.openxmlformats.org/drawingml/2006/picture">
              <pic:pic>
                <pic:nvPicPr>
                  <pic:cNvPr descr="Logo_Ford" id="0" name="image1.jpg"/>
                  <pic:cNvPicPr preferRelativeResize="0"/>
                </pic:nvPicPr>
                <pic:blipFill>
                  <a:blip r:embed="rId2"/>
                  <a:srcRect b="0" l="0" r="0" t="0"/>
                  <a:stretch>
                    <a:fillRect/>
                  </a:stretch>
                </pic:blipFill>
                <pic:spPr>
                  <a:xfrm>
                    <a:off x="0" y="0"/>
                    <a:ext cx="800100" cy="3143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orporate.ford.com" TargetMode="External"/><Relationship Id="rId7" Type="http://schemas.openxmlformats.org/officeDocument/2006/relationships/hyperlink" Target="mailto:sara.ouafir@prmediacom.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